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4 квартал 2024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1"/>
        <w:gridCol w:w="2481"/>
        <w:gridCol w:w="2481"/>
        <w:gridCol w:w="2481"/>
      </w:tblGrid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октябрь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ноябрь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декабрь </w:t>
            </w:r>
          </w:p>
        </w:tc>
      </w:tr>
      <w:tr>
        <w:trPr>
          <w:trHeight w:hRule="atLeast" w:val="1251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/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Камышинский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Михайловский район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Чубыкин А.В.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Михайловский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</w:tbl>
    <w:p w14:paraId="31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32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3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4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5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6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2025-12-03T07:07:49Z</dcterms:modified>
</cp:coreProperties>
</file>